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DD661" w14:textId="77777777" w:rsidR="00175781" w:rsidRPr="00175781" w:rsidRDefault="00175781" w:rsidP="00175781">
      <w:pPr>
        <w:spacing w:before="200" w:after="120"/>
        <w:outlineLvl w:val="1"/>
        <w:rPr>
          <w:rFonts w:eastAsia="Cambria"/>
          <w:b/>
          <w:bCs/>
          <w:sz w:val="24"/>
          <w:szCs w:val="24"/>
        </w:rPr>
      </w:pPr>
      <w:bookmarkStart w:id="0" w:name="_Toc94882902"/>
      <w:bookmarkStart w:id="1" w:name="_Toc97907260"/>
      <w:bookmarkStart w:id="2" w:name="_Toc106190059"/>
      <w:bookmarkStart w:id="3" w:name="_Toc106190053"/>
      <w:r w:rsidRPr="00175781">
        <w:rPr>
          <w:rFonts w:eastAsia="Cambria"/>
          <w:b/>
          <w:bCs/>
          <w:color w:val="1F497D"/>
          <w:sz w:val="24"/>
          <w:szCs w:val="24"/>
        </w:rPr>
        <w:t>Exhibit A: Post-Award Risk Assessment for SFRF Subrecipient Checklist</w:t>
      </w:r>
      <w:bookmarkEnd w:id="3"/>
    </w:p>
    <w:p w14:paraId="74461F93" w14:textId="77777777" w:rsidR="00175781" w:rsidRPr="00175781" w:rsidRDefault="00175781" w:rsidP="00175781">
      <w:pPr>
        <w:spacing w:before="200" w:after="120"/>
        <w:outlineLvl w:val="2"/>
        <w:rPr>
          <w:rFonts w:eastAsia="Cambria"/>
          <w:b/>
          <w:color w:val="1F497D"/>
          <w:sz w:val="24"/>
          <w:szCs w:val="24"/>
        </w:rPr>
      </w:pPr>
      <w:bookmarkStart w:id="4" w:name="_Toc106190054"/>
      <w:r w:rsidRPr="00175781">
        <w:rPr>
          <w:rFonts w:eastAsia="Cambria"/>
          <w:b/>
          <w:color w:val="1F497D"/>
          <w:sz w:val="24"/>
          <w:szCs w:val="24"/>
        </w:rPr>
        <w:t>Purpose</w:t>
      </w:r>
      <w:bookmarkEnd w:id="4"/>
    </w:p>
    <w:p w14:paraId="41365086" w14:textId="77777777" w:rsidR="00175781" w:rsidRPr="00175781" w:rsidRDefault="00175781" w:rsidP="00175781">
      <w:r w:rsidRPr="00175781">
        <w:t>A risk assessment is a way to evaluate the potential financial and compliance risk of a subrecipient. Several factors should be considered when determining the level of risk associated with a subrecipient. This will help assess risk and dictates the monitoring plan for subrecipients.</w:t>
      </w:r>
    </w:p>
    <w:p w14:paraId="5BBC03EA" w14:textId="77777777" w:rsidR="00175781" w:rsidRPr="00175781" w:rsidRDefault="00175781" w:rsidP="00175781">
      <w:pPr>
        <w:spacing w:before="200" w:after="120"/>
        <w:outlineLvl w:val="2"/>
        <w:rPr>
          <w:rFonts w:eastAsia="Cambria"/>
          <w:b/>
          <w:color w:val="1F497D"/>
          <w:sz w:val="24"/>
          <w:szCs w:val="24"/>
        </w:rPr>
      </w:pPr>
      <w:bookmarkStart w:id="5" w:name="_Toc106190055"/>
      <w:r w:rsidRPr="00175781">
        <w:rPr>
          <w:rFonts w:eastAsia="Cambria"/>
          <w:b/>
          <w:color w:val="1F497D"/>
          <w:sz w:val="24"/>
          <w:szCs w:val="24"/>
        </w:rPr>
        <w:t>Procedures</w:t>
      </w:r>
      <w:bookmarkEnd w:id="5"/>
    </w:p>
    <w:p w14:paraId="56EEFCAD" w14:textId="77777777" w:rsidR="00175781" w:rsidRPr="00175781" w:rsidRDefault="00175781" w:rsidP="00175781">
      <w:pPr>
        <w:spacing w:before="137"/>
        <w:outlineLvl w:val="0"/>
        <w:rPr>
          <w:rFonts w:ascii="Times New Roman" w:eastAsia="Times New Roman" w:hAnsi="Times New Roman" w:cs="Times New Roman"/>
          <w:bCs/>
        </w:rPr>
      </w:pPr>
      <w:bookmarkStart w:id="6" w:name="_Toc106190056"/>
      <w:r w:rsidRPr="00175781">
        <w:rPr>
          <w:rFonts w:eastAsia="Times New Roman"/>
          <w:bCs/>
        </w:rPr>
        <w:t>At a minimum, the Administering Agency should perform the following to determine a risk rating for each subrecipient:</w:t>
      </w:r>
      <w:bookmarkEnd w:id="6"/>
    </w:p>
    <w:p w14:paraId="29605C6E" w14:textId="77777777" w:rsidR="00175781" w:rsidRPr="00175781" w:rsidRDefault="00175781" w:rsidP="00175781">
      <w:pPr>
        <w:numPr>
          <w:ilvl w:val="0"/>
          <w:numId w:val="2"/>
        </w:numPr>
        <w:tabs>
          <w:tab w:val="left" w:pos="720"/>
          <w:tab w:val="left" w:pos="2883"/>
        </w:tabs>
        <w:spacing w:after="120"/>
        <w:rPr>
          <w:rFonts w:eastAsia="Cambria"/>
        </w:rPr>
      </w:pPr>
      <w:r w:rsidRPr="00175781">
        <w:rPr>
          <w:rFonts w:eastAsia="Cambria"/>
          <w:color w:val="231F20"/>
        </w:rPr>
        <w:t>Review Single Audit of subrecipient</w:t>
      </w:r>
      <w:r w:rsidRPr="00175781">
        <w:rPr>
          <w:rFonts w:eastAsia="Cambria"/>
          <w:color w:val="231F20"/>
          <w:spacing w:val="-8"/>
        </w:rPr>
        <w:t xml:space="preserve"> </w:t>
      </w:r>
      <w:r w:rsidRPr="00175781">
        <w:rPr>
          <w:rFonts w:eastAsia="Cambria"/>
          <w:color w:val="231F20"/>
        </w:rPr>
        <w:t>organization (if one was conducted) and assess whether there are timely and effective resolutions and correction action to respond to any of the audit’s recommendations and findings</w:t>
      </w:r>
    </w:p>
    <w:p w14:paraId="70C6AACB" w14:textId="77777777" w:rsidR="00175781" w:rsidRPr="00175781" w:rsidRDefault="00175781" w:rsidP="00175781">
      <w:pPr>
        <w:numPr>
          <w:ilvl w:val="0"/>
          <w:numId w:val="2"/>
        </w:numPr>
        <w:spacing w:after="120"/>
        <w:rPr>
          <w:rFonts w:eastAsia="Cambria" w:cs="Cambria"/>
        </w:rPr>
      </w:pPr>
      <w:r w:rsidRPr="00175781">
        <w:rPr>
          <w:rFonts w:eastAsia="Cambria"/>
          <w:color w:val="231F20"/>
        </w:rPr>
        <w:t>Review previous financial and programmatic performance of subrecipient</w:t>
      </w:r>
    </w:p>
    <w:p w14:paraId="10932EDA" w14:textId="77777777" w:rsidR="00175781" w:rsidRPr="00175781" w:rsidRDefault="00175781" w:rsidP="00175781">
      <w:pPr>
        <w:numPr>
          <w:ilvl w:val="0"/>
          <w:numId w:val="2"/>
        </w:numPr>
        <w:spacing w:after="120"/>
        <w:rPr>
          <w:rFonts w:eastAsia="Cambria" w:cs="Cambria"/>
          <w:color w:val="231F20"/>
        </w:rPr>
      </w:pPr>
      <w:r w:rsidRPr="00175781">
        <w:rPr>
          <w:rFonts w:eastAsia="Cambria"/>
          <w:color w:val="231F20"/>
        </w:rPr>
        <w:t>Assess subrecipient’s previous grant experience</w:t>
      </w:r>
    </w:p>
    <w:p w14:paraId="79791378" w14:textId="77777777" w:rsidR="00175781" w:rsidRPr="00175781" w:rsidRDefault="00175781" w:rsidP="00175781">
      <w:pPr>
        <w:numPr>
          <w:ilvl w:val="0"/>
          <w:numId w:val="2"/>
        </w:numPr>
        <w:spacing w:after="120"/>
        <w:rPr>
          <w:rFonts w:eastAsia="Cambria" w:cs="Cambria"/>
          <w:color w:val="231F20"/>
        </w:rPr>
      </w:pPr>
      <w:r w:rsidRPr="00175781">
        <w:rPr>
          <w:rFonts w:eastAsia="Cambria"/>
          <w:color w:val="231F20"/>
        </w:rPr>
        <w:t>Assess adequacy of subrecipient’s policies and procedures to administer funds to beneficiaries. Does the subrecipient have formal Uniform Guidance policies and procedures? Are those policies and procedures circulated to staff?</w:t>
      </w:r>
    </w:p>
    <w:p w14:paraId="34ECDE3A" w14:textId="77777777" w:rsidR="00175781" w:rsidRPr="00175781" w:rsidRDefault="00175781" w:rsidP="00175781">
      <w:pPr>
        <w:numPr>
          <w:ilvl w:val="0"/>
          <w:numId w:val="2"/>
        </w:numPr>
        <w:spacing w:after="120"/>
        <w:rPr>
          <w:rFonts w:eastAsia="Cambria" w:cs="Cambria"/>
          <w:b/>
          <w:color w:val="231F20"/>
        </w:rPr>
      </w:pPr>
      <w:r w:rsidRPr="00175781">
        <w:rPr>
          <w:rFonts w:eastAsia="Cambria" w:cs="Cambria"/>
          <w:b/>
          <w:color w:val="231F20"/>
        </w:rPr>
        <w:t xml:space="preserve">Use the Exhibit A-1 </w:t>
      </w:r>
      <w:r w:rsidRPr="00175781">
        <w:rPr>
          <w:rFonts w:eastAsia="Cambria" w:cs="Cambria"/>
          <w:b/>
          <w:i/>
          <w:color w:val="231F20"/>
        </w:rPr>
        <w:t>List of Items Needed from Subrecipient</w:t>
      </w:r>
      <w:r w:rsidRPr="00175781">
        <w:rPr>
          <w:rFonts w:eastAsia="Cambria" w:cs="Cambria"/>
          <w:b/>
          <w:color w:val="231F20"/>
        </w:rPr>
        <w:t xml:space="preserve"> to gather information from the subrecipients</w:t>
      </w:r>
    </w:p>
    <w:p w14:paraId="7E1625D1" w14:textId="77777777" w:rsidR="00175781" w:rsidRPr="00175781" w:rsidRDefault="00175781" w:rsidP="00175781">
      <w:pPr>
        <w:numPr>
          <w:ilvl w:val="0"/>
          <w:numId w:val="2"/>
        </w:numPr>
        <w:spacing w:after="120"/>
        <w:rPr>
          <w:rFonts w:eastAsia="Cambria" w:cs="Cambria"/>
          <w:color w:val="231F20"/>
        </w:rPr>
      </w:pPr>
      <w:r w:rsidRPr="00175781">
        <w:rPr>
          <w:rFonts w:eastAsia="Cambria" w:cs="Cambria"/>
          <w:b/>
          <w:bCs/>
          <w:color w:val="231F20"/>
        </w:rPr>
        <w:t xml:space="preserve">Complete </w:t>
      </w:r>
      <w:r w:rsidRPr="00175781">
        <w:rPr>
          <w:rFonts w:eastAsia="Cambria" w:cs="Cambria"/>
          <w:b/>
          <w:bCs/>
          <w:i/>
          <w:iCs/>
          <w:color w:val="231F20"/>
        </w:rPr>
        <w:t>Risk Assessment Scorecard</w:t>
      </w:r>
      <w:r w:rsidRPr="00175781">
        <w:rPr>
          <w:rFonts w:eastAsia="Cambria" w:cs="Cambria"/>
          <w:b/>
          <w:bCs/>
          <w:color w:val="231F20"/>
        </w:rPr>
        <w:t xml:space="preserve"> (please refer to excel document “Risk Assessment Scorecard”) </w:t>
      </w:r>
      <w:r w:rsidRPr="00175781">
        <w:rPr>
          <w:rFonts w:eastAsia="Cambria"/>
          <w:color w:val="231F20"/>
        </w:rPr>
        <w:t>Assess other risk factors as deemed applicable</w:t>
      </w:r>
    </w:p>
    <w:p w14:paraId="32B5BF75" w14:textId="77777777" w:rsidR="00175781" w:rsidRPr="00175781" w:rsidRDefault="00175781" w:rsidP="00175781">
      <w:pPr>
        <w:spacing w:before="235"/>
        <w:ind w:right="939"/>
      </w:pPr>
      <w:r w:rsidRPr="00175781">
        <w:rPr>
          <w:color w:val="231F20"/>
        </w:rPr>
        <w:t>Based on my review and subrecipient's past performance, this subrecipient is determined to be:</w:t>
      </w:r>
    </w:p>
    <w:tbl>
      <w:tblPr>
        <w:tblW w:w="0" w:type="auto"/>
        <w:tblInd w:w="180" w:type="dxa"/>
        <w:tblLayout w:type="fixed"/>
        <w:tblCellMar>
          <w:left w:w="0" w:type="dxa"/>
          <w:right w:w="0" w:type="dxa"/>
        </w:tblCellMar>
        <w:tblLook w:val="01E0" w:firstRow="1" w:lastRow="1" w:firstColumn="1" w:lastColumn="1" w:noHBand="0" w:noVBand="0"/>
      </w:tblPr>
      <w:tblGrid>
        <w:gridCol w:w="2778"/>
        <w:gridCol w:w="3333"/>
        <w:gridCol w:w="2733"/>
      </w:tblGrid>
      <w:tr w:rsidR="00175781" w:rsidRPr="00175781" w14:paraId="76AA5693" w14:textId="77777777" w:rsidTr="00175781">
        <w:trPr>
          <w:trHeight w:val="328"/>
        </w:trPr>
        <w:tc>
          <w:tcPr>
            <w:tcW w:w="2778" w:type="dxa"/>
            <w:tcBorders>
              <w:top w:val="single" w:sz="12" w:space="0" w:color="auto"/>
              <w:left w:val="single" w:sz="12" w:space="0" w:color="auto"/>
              <w:bottom w:val="single" w:sz="12" w:space="0" w:color="auto"/>
              <w:right w:val="single" w:sz="12" w:space="0" w:color="auto"/>
            </w:tcBorders>
            <w:shd w:val="clear" w:color="auto" w:fill="1F497D"/>
          </w:tcPr>
          <w:p w14:paraId="017EC127" w14:textId="77777777" w:rsidR="00175781" w:rsidRPr="00175781" w:rsidRDefault="00175781" w:rsidP="00175781">
            <w:pPr>
              <w:spacing w:line="308" w:lineRule="exact"/>
              <w:jc w:val="center"/>
              <w:rPr>
                <w:rFonts w:eastAsia="Calibri"/>
                <w:b/>
              </w:rPr>
            </w:pPr>
            <w:r w:rsidRPr="00175781">
              <w:rPr>
                <w:rFonts w:eastAsia="Calibri"/>
                <w:b/>
                <w:color w:val="FFFFFF"/>
              </w:rPr>
              <w:t>Low Risk</w:t>
            </w:r>
          </w:p>
        </w:tc>
        <w:tc>
          <w:tcPr>
            <w:tcW w:w="3333" w:type="dxa"/>
            <w:tcBorders>
              <w:top w:val="single" w:sz="12" w:space="0" w:color="auto"/>
              <w:left w:val="single" w:sz="12" w:space="0" w:color="auto"/>
              <w:bottom w:val="single" w:sz="12" w:space="0" w:color="auto"/>
              <w:right w:val="single" w:sz="12" w:space="0" w:color="auto"/>
            </w:tcBorders>
            <w:shd w:val="clear" w:color="auto" w:fill="1F497D"/>
          </w:tcPr>
          <w:p w14:paraId="76C499E1" w14:textId="77777777" w:rsidR="00175781" w:rsidRPr="00175781" w:rsidRDefault="00175781" w:rsidP="00175781">
            <w:pPr>
              <w:spacing w:line="308" w:lineRule="exact"/>
              <w:jc w:val="center"/>
              <w:rPr>
                <w:rFonts w:eastAsia="Calibri"/>
                <w:b/>
              </w:rPr>
            </w:pPr>
            <w:r w:rsidRPr="00175781">
              <w:rPr>
                <w:rFonts w:eastAsia="Calibri"/>
                <w:b/>
                <w:color w:val="FFFFFF"/>
              </w:rPr>
              <w:t>Medium Risk</w:t>
            </w:r>
          </w:p>
        </w:tc>
        <w:tc>
          <w:tcPr>
            <w:tcW w:w="2733" w:type="dxa"/>
            <w:tcBorders>
              <w:top w:val="single" w:sz="12" w:space="0" w:color="auto"/>
              <w:left w:val="single" w:sz="12" w:space="0" w:color="auto"/>
              <w:bottom w:val="single" w:sz="12" w:space="0" w:color="auto"/>
              <w:right w:val="single" w:sz="12" w:space="0" w:color="auto"/>
            </w:tcBorders>
            <w:shd w:val="clear" w:color="auto" w:fill="1F497D"/>
          </w:tcPr>
          <w:p w14:paraId="6F504D17" w14:textId="77777777" w:rsidR="00175781" w:rsidRPr="00175781" w:rsidRDefault="00175781" w:rsidP="00175781">
            <w:pPr>
              <w:spacing w:line="308" w:lineRule="exact"/>
              <w:jc w:val="center"/>
              <w:rPr>
                <w:rFonts w:eastAsia="Calibri"/>
                <w:b/>
              </w:rPr>
            </w:pPr>
            <w:r w:rsidRPr="00175781">
              <w:rPr>
                <w:rFonts w:eastAsia="Calibri"/>
                <w:b/>
                <w:color w:val="FFFFFF"/>
              </w:rPr>
              <w:t>High Risk</w:t>
            </w:r>
          </w:p>
        </w:tc>
      </w:tr>
      <w:tr w:rsidR="00175781" w:rsidRPr="00175781" w14:paraId="65C6B216" w14:textId="77777777" w:rsidTr="00175781">
        <w:trPr>
          <w:trHeight w:val="328"/>
        </w:trPr>
        <w:sdt>
          <w:sdtPr>
            <w:rPr>
              <w:rFonts w:eastAsia="Calibri"/>
              <w:color w:val="231F20"/>
            </w:rPr>
            <w:id w:val="-692225275"/>
            <w14:checkbox>
              <w14:checked w14:val="0"/>
              <w14:checkedState w14:val="2612" w14:font="MS Gothic"/>
              <w14:uncheckedState w14:val="2610" w14:font="MS Gothic"/>
            </w14:checkbox>
          </w:sdtPr>
          <w:sdtContent>
            <w:tc>
              <w:tcPr>
                <w:tcW w:w="2778" w:type="dxa"/>
                <w:tcBorders>
                  <w:top w:val="single" w:sz="12" w:space="0" w:color="auto"/>
                  <w:left w:val="single" w:sz="12" w:space="0" w:color="auto"/>
                  <w:bottom w:val="single" w:sz="12" w:space="0" w:color="auto"/>
                  <w:right w:val="single" w:sz="12" w:space="0" w:color="auto"/>
                </w:tcBorders>
                <w:shd w:val="clear" w:color="auto" w:fill="F2F2F2"/>
              </w:tcPr>
              <w:p w14:paraId="7FC842E7" w14:textId="77777777" w:rsidR="00175781" w:rsidRPr="00175781" w:rsidRDefault="00175781" w:rsidP="00175781">
                <w:pPr>
                  <w:spacing w:line="308" w:lineRule="exact"/>
                  <w:jc w:val="center"/>
                  <w:rPr>
                    <w:rFonts w:eastAsia="Calibri"/>
                    <w:color w:val="231F20"/>
                  </w:rPr>
                </w:pPr>
                <w:r w:rsidRPr="00175781">
                  <w:rPr>
                    <w:rFonts w:ascii="Segoe UI Symbol" w:eastAsia="Calibri" w:hAnsi="Segoe UI Symbol" w:cs="Segoe UI Symbol"/>
                    <w:color w:val="231F20"/>
                  </w:rPr>
                  <w:t>☐</w:t>
                </w:r>
              </w:p>
            </w:tc>
          </w:sdtContent>
        </w:sdt>
        <w:sdt>
          <w:sdtPr>
            <w:rPr>
              <w:rFonts w:eastAsia="Calibri"/>
              <w:color w:val="231F20"/>
            </w:rPr>
            <w:id w:val="-1466730478"/>
            <w14:checkbox>
              <w14:checked w14:val="0"/>
              <w14:checkedState w14:val="2612" w14:font="MS Gothic"/>
              <w14:uncheckedState w14:val="2610" w14:font="MS Gothic"/>
            </w14:checkbox>
          </w:sdtPr>
          <w:sdtContent>
            <w:tc>
              <w:tcPr>
                <w:tcW w:w="3333" w:type="dxa"/>
                <w:tcBorders>
                  <w:top w:val="single" w:sz="12" w:space="0" w:color="auto"/>
                  <w:left w:val="single" w:sz="12" w:space="0" w:color="auto"/>
                  <w:bottom w:val="single" w:sz="12" w:space="0" w:color="auto"/>
                  <w:right w:val="single" w:sz="12" w:space="0" w:color="auto"/>
                </w:tcBorders>
                <w:shd w:val="clear" w:color="auto" w:fill="F2F2F2"/>
              </w:tcPr>
              <w:p w14:paraId="40BBA1B6" w14:textId="77777777" w:rsidR="00175781" w:rsidRPr="00175781" w:rsidRDefault="00175781" w:rsidP="00175781">
                <w:pPr>
                  <w:spacing w:line="308" w:lineRule="exact"/>
                  <w:jc w:val="center"/>
                  <w:rPr>
                    <w:rFonts w:eastAsia="Calibri"/>
                    <w:color w:val="231F20"/>
                  </w:rPr>
                </w:pPr>
                <w:r w:rsidRPr="00175781">
                  <w:rPr>
                    <w:rFonts w:ascii="Segoe UI Symbol" w:eastAsia="Calibri" w:hAnsi="Segoe UI Symbol" w:cs="Segoe UI Symbol"/>
                    <w:color w:val="231F20"/>
                  </w:rPr>
                  <w:t>☐</w:t>
                </w:r>
              </w:p>
            </w:tc>
          </w:sdtContent>
        </w:sdt>
        <w:sdt>
          <w:sdtPr>
            <w:rPr>
              <w:rFonts w:eastAsia="Calibri"/>
              <w:color w:val="231F20"/>
            </w:rPr>
            <w:id w:val="-2110958415"/>
            <w14:checkbox>
              <w14:checked w14:val="0"/>
              <w14:checkedState w14:val="2612" w14:font="MS Gothic"/>
              <w14:uncheckedState w14:val="2610" w14:font="MS Gothic"/>
            </w14:checkbox>
          </w:sdtPr>
          <w:sdtContent>
            <w:tc>
              <w:tcPr>
                <w:tcW w:w="2733" w:type="dxa"/>
                <w:tcBorders>
                  <w:top w:val="single" w:sz="12" w:space="0" w:color="auto"/>
                  <w:left w:val="single" w:sz="12" w:space="0" w:color="auto"/>
                  <w:bottom w:val="single" w:sz="12" w:space="0" w:color="auto"/>
                  <w:right w:val="single" w:sz="12" w:space="0" w:color="auto"/>
                </w:tcBorders>
                <w:shd w:val="clear" w:color="auto" w:fill="F2F2F2"/>
              </w:tcPr>
              <w:p w14:paraId="79379E74" w14:textId="77777777" w:rsidR="00175781" w:rsidRPr="00175781" w:rsidRDefault="00175781" w:rsidP="00175781">
                <w:pPr>
                  <w:spacing w:line="308" w:lineRule="exact"/>
                  <w:jc w:val="center"/>
                  <w:rPr>
                    <w:rFonts w:eastAsia="Calibri"/>
                    <w:color w:val="231F20"/>
                  </w:rPr>
                </w:pPr>
                <w:r w:rsidRPr="00175781">
                  <w:rPr>
                    <w:rFonts w:ascii="Segoe UI Symbol" w:eastAsia="Calibri" w:hAnsi="Segoe UI Symbol" w:cs="Segoe UI Symbol"/>
                    <w:color w:val="231F20"/>
                  </w:rPr>
                  <w:t>☐</w:t>
                </w:r>
              </w:p>
            </w:tc>
          </w:sdtContent>
        </w:sdt>
      </w:tr>
    </w:tbl>
    <w:p w14:paraId="12AAF034" w14:textId="77777777" w:rsidR="00175781" w:rsidRPr="00175781" w:rsidRDefault="00175781" w:rsidP="00175781">
      <w:pPr>
        <w:tabs>
          <w:tab w:val="left" w:pos="5760"/>
          <w:tab w:val="left" w:pos="6300"/>
        </w:tabs>
        <w:spacing w:before="1"/>
        <w:rPr>
          <w:color w:val="231F20"/>
          <w:u w:val="single"/>
        </w:rPr>
      </w:pPr>
    </w:p>
    <w:p w14:paraId="42CDB82F" w14:textId="77777777" w:rsidR="00175781" w:rsidRPr="00175781" w:rsidRDefault="00175781" w:rsidP="00175781">
      <w:pPr>
        <w:tabs>
          <w:tab w:val="left" w:pos="5760"/>
          <w:tab w:val="left" w:pos="6300"/>
        </w:tabs>
        <w:spacing w:before="1"/>
        <w:rPr>
          <w:color w:val="231F20"/>
          <w:u w:val="single"/>
        </w:rPr>
      </w:pPr>
      <w:r w:rsidRPr="00175781">
        <w:rPr>
          <w:color w:val="231F20"/>
          <w:u w:val="single"/>
        </w:rPr>
        <w:tab/>
      </w:r>
      <w:r w:rsidRPr="00175781">
        <w:rPr>
          <w:color w:val="231F20"/>
        </w:rPr>
        <w:tab/>
      </w:r>
      <w:r w:rsidRPr="00175781">
        <w:rPr>
          <w:color w:val="231F20"/>
          <w:u w:val="single"/>
        </w:rPr>
        <w:tab/>
      </w:r>
      <w:r w:rsidRPr="00175781">
        <w:rPr>
          <w:color w:val="231F20"/>
          <w:u w:val="single"/>
        </w:rPr>
        <w:tab/>
      </w:r>
      <w:r w:rsidRPr="00175781">
        <w:rPr>
          <w:color w:val="231F20"/>
          <w:u w:val="single"/>
        </w:rPr>
        <w:tab/>
      </w:r>
      <w:r w:rsidRPr="00175781">
        <w:rPr>
          <w:color w:val="231F20"/>
          <w:u w:val="single"/>
        </w:rPr>
        <w:tab/>
      </w:r>
      <w:r w:rsidRPr="00175781">
        <w:rPr>
          <w:color w:val="231F20"/>
          <w:u w:val="single"/>
        </w:rPr>
        <w:tab/>
      </w:r>
    </w:p>
    <w:p w14:paraId="691FACE0" w14:textId="77777777" w:rsidR="00175781" w:rsidRPr="00175781" w:rsidRDefault="00175781" w:rsidP="00175781">
      <w:pPr>
        <w:tabs>
          <w:tab w:val="left" w:pos="4320"/>
          <w:tab w:val="left" w:pos="5760"/>
          <w:tab w:val="left" w:pos="8641"/>
        </w:tabs>
        <w:spacing w:before="1"/>
        <w:rPr>
          <w:color w:val="231F20"/>
        </w:rPr>
      </w:pPr>
      <w:r w:rsidRPr="00175781">
        <w:rPr>
          <w:color w:val="231F20"/>
        </w:rPr>
        <w:t>{Authorized Representative Administering Agency}</w:t>
      </w:r>
      <w:r w:rsidRPr="00175781">
        <w:rPr>
          <w:color w:val="231F20"/>
        </w:rPr>
        <w:tab/>
        <w:t xml:space="preserve">         Date</w:t>
      </w:r>
    </w:p>
    <w:p w14:paraId="3D9CC75D" w14:textId="77777777" w:rsidR="00175781" w:rsidRDefault="00175781">
      <w:pPr>
        <w:widowControl/>
        <w:autoSpaceDE/>
        <w:autoSpaceDN/>
        <w:spacing w:after="160" w:line="259" w:lineRule="auto"/>
        <w:jc w:val="left"/>
        <w:rPr>
          <w:color w:val="44546A" w:themeColor="text2"/>
          <w:sz w:val="24"/>
          <w:szCs w:val="24"/>
        </w:rPr>
      </w:pPr>
      <w:r>
        <w:rPr>
          <w:color w:val="44546A" w:themeColor="text2"/>
          <w:sz w:val="24"/>
          <w:szCs w:val="24"/>
        </w:rPr>
        <w:br w:type="page"/>
      </w:r>
    </w:p>
    <w:p w14:paraId="407B8848" w14:textId="77777777" w:rsidR="00175781" w:rsidRPr="00175781" w:rsidRDefault="00175781" w:rsidP="00175781">
      <w:pPr>
        <w:spacing w:before="200" w:after="120"/>
        <w:outlineLvl w:val="1"/>
        <w:rPr>
          <w:rFonts w:eastAsia="Cambria"/>
          <w:b/>
          <w:bCs/>
          <w:color w:val="1F497D"/>
          <w:sz w:val="24"/>
          <w:szCs w:val="24"/>
        </w:rPr>
      </w:pPr>
      <w:bookmarkStart w:id="7" w:name="_Toc106190057"/>
      <w:r w:rsidRPr="00175781">
        <w:rPr>
          <w:rFonts w:eastAsia="Cambria"/>
          <w:b/>
          <w:bCs/>
          <w:color w:val="1F497D"/>
          <w:sz w:val="24"/>
          <w:szCs w:val="24"/>
        </w:rPr>
        <w:lastRenderedPageBreak/>
        <w:t>Exhibit A: Post-Award Risk Assessment for SFRF Subrecipient Checklist (Continued)</w:t>
      </w:r>
      <w:bookmarkEnd w:id="7"/>
    </w:p>
    <w:p w14:paraId="5E28137D" w14:textId="77777777" w:rsidR="00175781" w:rsidRPr="00175781" w:rsidRDefault="00175781" w:rsidP="00175781">
      <w:pPr>
        <w:spacing w:before="200" w:after="120"/>
        <w:outlineLvl w:val="2"/>
        <w:rPr>
          <w:rFonts w:eastAsia="Cambria"/>
          <w:b/>
          <w:color w:val="1F497D"/>
          <w:sz w:val="24"/>
          <w:szCs w:val="24"/>
        </w:rPr>
      </w:pPr>
      <w:bookmarkStart w:id="8" w:name="_Toc106190058"/>
      <w:r w:rsidRPr="00175781">
        <w:rPr>
          <w:rFonts w:eastAsia="Cambria"/>
          <w:b/>
          <w:color w:val="1F497D"/>
          <w:sz w:val="24"/>
          <w:szCs w:val="24"/>
        </w:rPr>
        <w:t>Monitoring Determination</w:t>
      </w:r>
      <w:bookmarkEnd w:id="8"/>
    </w:p>
    <w:p w14:paraId="42807A60" w14:textId="77777777" w:rsidR="00175781" w:rsidRPr="00175781" w:rsidRDefault="00175781" w:rsidP="00175781">
      <w:r w:rsidRPr="00175781">
        <w:t>Based upon the risk assessment, subrecipients will need to be monitored in a tiered approach based on the following categories:</w:t>
      </w:r>
    </w:p>
    <w:tbl>
      <w:tblPr>
        <w:tblStyle w:val="TableGrid"/>
        <w:tblW w:w="0" w:type="auto"/>
        <w:tblLook w:val="04A0" w:firstRow="1" w:lastRow="0" w:firstColumn="1" w:lastColumn="0" w:noHBand="0" w:noVBand="1"/>
      </w:tblPr>
      <w:tblGrid>
        <w:gridCol w:w="3235"/>
        <w:gridCol w:w="6030"/>
      </w:tblGrid>
      <w:tr w:rsidR="00175781" w:rsidRPr="00175781" w14:paraId="1A0DD3C9" w14:textId="77777777" w:rsidTr="00175781">
        <w:tc>
          <w:tcPr>
            <w:tcW w:w="3235" w:type="dxa"/>
            <w:shd w:val="clear" w:color="auto" w:fill="1F497D"/>
            <w:vAlign w:val="bottom"/>
          </w:tcPr>
          <w:p w14:paraId="55E39827" w14:textId="77777777" w:rsidR="00175781" w:rsidRPr="00175781" w:rsidRDefault="00175781" w:rsidP="00175781">
            <w:pPr>
              <w:jc w:val="center"/>
              <w:rPr>
                <w:b/>
                <w:color w:val="FFFFFF"/>
              </w:rPr>
            </w:pPr>
            <w:r w:rsidRPr="00175781">
              <w:rPr>
                <w:b/>
                <w:color w:val="FFFFFF"/>
              </w:rPr>
              <w:t>Risk Rating</w:t>
            </w:r>
          </w:p>
        </w:tc>
        <w:tc>
          <w:tcPr>
            <w:tcW w:w="6030" w:type="dxa"/>
            <w:shd w:val="clear" w:color="auto" w:fill="1F497D"/>
            <w:vAlign w:val="bottom"/>
          </w:tcPr>
          <w:p w14:paraId="175103DC" w14:textId="77777777" w:rsidR="00175781" w:rsidRPr="00175781" w:rsidRDefault="00175781" w:rsidP="00175781">
            <w:pPr>
              <w:jc w:val="center"/>
              <w:rPr>
                <w:b/>
                <w:color w:val="FFFFFF"/>
              </w:rPr>
            </w:pPr>
            <w:r w:rsidRPr="00175781">
              <w:rPr>
                <w:b/>
                <w:color w:val="FFFFFF"/>
              </w:rPr>
              <w:t>Type of Monitoring Conducted</w:t>
            </w:r>
          </w:p>
        </w:tc>
      </w:tr>
      <w:tr w:rsidR="00175781" w:rsidRPr="00175781" w14:paraId="178C66A3" w14:textId="77777777" w:rsidTr="00641865">
        <w:tc>
          <w:tcPr>
            <w:tcW w:w="3235" w:type="dxa"/>
            <w:vAlign w:val="center"/>
          </w:tcPr>
          <w:p w14:paraId="1F8276BA" w14:textId="77777777" w:rsidR="00175781" w:rsidRPr="00175781" w:rsidRDefault="00175781" w:rsidP="00175781">
            <w:pPr>
              <w:spacing w:before="60" w:after="60"/>
              <w:jc w:val="left"/>
            </w:pPr>
            <w:r w:rsidRPr="00175781">
              <w:t>Low Risk</w:t>
            </w:r>
          </w:p>
        </w:tc>
        <w:tc>
          <w:tcPr>
            <w:tcW w:w="6030" w:type="dxa"/>
            <w:vAlign w:val="center"/>
          </w:tcPr>
          <w:p w14:paraId="6B117397" w14:textId="77777777" w:rsidR="00175781" w:rsidRPr="00175781" w:rsidRDefault="00175781" w:rsidP="00175781">
            <w:pPr>
              <w:spacing w:before="60" w:after="60"/>
              <w:jc w:val="left"/>
            </w:pPr>
            <w:r w:rsidRPr="00175781">
              <w:t>Accountability Calls and Reporting Reviews</w:t>
            </w:r>
          </w:p>
        </w:tc>
      </w:tr>
      <w:tr w:rsidR="00175781" w:rsidRPr="00175781" w14:paraId="36EA080B" w14:textId="77777777" w:rsidTr="00641865">
        <w:tc>
          <w:tcPr>
            <w:tcW w:w="3235" w:type="dxa"/>
            <w:vAlign w:val="center"/>
          </w:tcPr>
          <w:p w14:paraId="004A3B95" w14:textId="77777777" w:rsidR="00175781" w:rsidRPr="00175781" w:rsidRDefault="00175781" w:rsidP="00175781">
            <w:pPr>
              <w:spacing w:before="60" w:after="60"/>
              <w:jc w:val="left"/>
            </w:pPr>
            <w:r w:rsidRPr="00175781">
              <w:t>Medium Risk</w:t>
            </w:r>
          </w:p>
        </w:tc>
        <w:tc>
          <w:tcPr>
            <w:tcW w:w="6030" w:type="dxa"/>
            <w:vAlign w:val="center"/>
          </w:tcPr>
          <w:p w14:paraId="3ADC77BB" w14:textId="77777777" w:rsidR="00175781" w:rsidRPr="00175781" w:rsidRDefault="00175781" w:rsidP="00175781">
            <w:pPr>
              <w:spacing w:before="60" w:after="60"/>
              <w:jc w:val="left"/>
            </w:pPr>
            <w:r w:rsidRPr="00175781">
              <w:t>Accountability Calls and Desk Reviews</w:t>
            </w:r>
          </w:p>
        </w:tc>
      </w:tr>
      <w:tr w:rsidR="00175781" w:rsidRPr="00175781" w14:paraId="232589C9" w14:textId="77777777" w:rsidTr="00641865">
        <w:tc>
          <w:tcPr>
            <w:tcW w:w="3235" w:type="dxa"/>
            <w:vAlign w:val="center"/>
          </w:tcPr>
          <w:p w14:paraId="4B435E52" w14:textId="77777777" w:rsidR="00175781" w:rsidRPr="00175781" w:rsidRDefault="00175781" w:rsidP="00175781">
            <w:pPr>
              <w:spacing w:before="60" w:after="60"/>
              <w:jc w:val="left"/>
            </w:pPr>
            <w:r w:rsidRPr="00175781">
              <w:t>High Risk</w:t>
            </w:r>
          </w:p>
        </w:tc>
        <w:tc>
          <w:tcPr>
            <w:tcW w:w="6030" w:type="dxa"/>
            <w:vAlign w:val="center"/>
          </w:tcPr>
          <w:p w14:paraId="72863ED6" w14:textId="77777777" w:rsidR="00175781" w:rsidRPr="00175781" w:rsidRDefault="00175781" w:rsidP="00175781">
            <w:pPr>
              <w:spacing w:before="60" w:after="60"/>
              <w:ind w:right="-108"/>
              <w:jc w:val="left"/>
            </w:pPr>
            <w:r w:rsidRPr="00175781">
              <w:t>Accountability Calls and On-Site Monitoring Visits</w:t>
            </w:r>
          </w:p>
        </w:tc>
      </w:tr>
    </w:tbl>
    <w:p w14:paraId="7223A92D" w14:textId="77777777" w:rsidR="00175781" w:rsidRPr="00175781" w:rsidRDefault="00175781" w:rsidP="00175781">
      <w:pPr>
        <w:spacing w:after="0"/>
      </w:pPr>
    </w:p>
    <w:p w14:paraId="5D1E1649" w14:textId="2A2A81B5" w:rsidR="00175781" w:rsidRPr="00175781" w:rsidRDefault="00175781" w:rsidP="00175781">
      <w:pPr>
        <w:spacing w:after="0"/>
      </w:pPr>
      <w:r w:rsidRPr="00175781">
        <w:t>Please refer to</w:t>
      </w:r>
      <w:r>
        <w:t xml:space="preserve"> Subrecipient Monitoring Handbook</w:t>
      </w:r>
      <w:r w:rsidRPr="00175781">
        <w:t xml:space="preserve"> Section 4.1 Types of Monitoring Based on Risk Rating for more detailed information regarding the types of monitoring conducted.</w:t>
      </w:r>
    </w:p>
    <w:p w14:paraId="6649E0EF" w14:textId="77777777" w:rsidR="00175781" w:rsidRPr="00175781" w:rsidRDefault="00175781" w:rsidP="00175781">
      <w:pPr>
        <w:spacing w:after="0"/>
      </w:pPr>
    </w:p>
    <w:p w14:paraId="3B4718AD" w14:textId="77777777" w:rsidR="00175781" w:rsidRPr="00175781" w:rsidRDefault="00175781" w:rsidP="00175781">
      <w:pPr>
        <w:spacing w:after="0"/>
      </w:pPr>
      <w:r w:rsidRPr="00175781">
        <w:t>In summary, the higher the risk rating, the higher the audit risk (i.e., higher risk of material weakness and material noncompliance). Subrecipient monitoring reduces the risk associated with doing business with an external entity. As part of the State’s annual Single Audit, auditors will test Administering Agencies’ compliance with federal laws that require subrecipients.</w:t>
      </w:r>
    </w:p>
    <w:p w14:paraId="289B0F16" w14:textId="04966B3E" w:rsidR="00175781" w:rsidRPr="00175781" w:rsidRDefault="00175781">
      <w:pPr>
        <w:widowControl/>
        <w:autoSpaceDE/>
        <w:autoSpaceDN/>
        <w:spacing w:after="160" w:line="259" w:lineRule="auto"/>
        <w:jc w:val="left"/>
        <w:rPr>
          <w:color w:val="44546A" w:themeColor="text2"/>
          <w:sz w:val="24"/>
          <w:szCs w:val="24"/>
        </w:rPr>
      </w:pPr>
      <w:r>
        <w:rPr>
          <w:color w:val="44546A" w:themeColor="text2"/>
          <w:sz w:val="24"/>
          <w:szCs w:val="24"/>
        </w:rPr>
        <w:br w:type="page"/>
      </w:r>
    </w:p>
    <w:p w14:paraId="046B1392" w14:textId="3A2495FE" w:rsidR="00175781" w:rsidRPr="00ED115B" w:rsidRDefault="00175781" w:rsidP="00175781">
      <w:pPr>
        <w:pStyle w:val="Heading1"/>
        <w:ind w:left="0" w:right="0" w:firstLine="0"/>
        <w:rPr>
          <w:rFonts w:ascii="Arial" w:hAnsi="Arial" w:cs="Arial"/>
          <w:color w:val="44546A" w:themeColor="text2"/>
          <w:sz w:val="24"/>
          <w:szCs w:val="24"/>
        </w:rPr>
      </w:pPr>
      <w:r w:rsidRPr="00ED115B">
        <w:rPr>
          <w:rFonts w:ascii="Arial" w:hAnsi="Arial" w:cs="Arial"/>
          <w:color w:val="44546A" w:themeColor="text2"/>
          <w:sz w:val="24"/>
          <w:szCs w:val="24"/>
        </w:rPr>
        <w:lastRenderedPageBreak/>
        <w:t xml:space="preserve">Exhibit </w:t>
      </w:r>
      <w:bookmarkEnd w:id="0"/>
      <w:r w:rsidRPr="00ED115B">
        <w:rPr>
          <w:rFonts w:ascii="Arial" w:hAnsi="Arial" w:cs="Arial"/>
          <w:color w:val="44546A" w:themeColor="text2"/>
          <w:sz w:val="24"/>
          <w:szCs w:val="24"/>
        </w:rPr>
        <w:t xml:space="preserve">A-1: </w:t>
      </w:r>
      <w:bookmarkEnd w:id="1"/>
      <w:r w:rsidRPr="00ED115B">
        <w:rPr>
          <w:rFonts w:ascii="Arial" w:hAnsi="Arial" w:cs="Arial"/>
          <w:color w:val="44546A" w:themeColor="text2"/>
          <w:sz w:val="24"/>
          <w:szCs w:val="24"/>
        </w:rPr>
        <w:t>List of Items Needed from Subrecipient</w:t>
      </w:r>
      <w:bookmarkEnd w:id="2"/>
    </w:p>
    <w:p w14:paraId="1ADA72D3" w14:textId="77777777" w:rsidR="00175781" w:rsidRDefault="00175781" w:rsidP="00175781">
      <w:pPr>
        <w:spacing w:after="0" w:line="240" w:lineRule="auto"/>
      </w:pPr>
      <w:r>
        <w:t>This list of items should be used to gather information from the subrecipient to obtain information on the subrecipient’s financial and management status. The subrecipient should be responsive in responding the Administering Agency’s request for documentation.</w:t>
      </w:r>
    </w:p>
    <w:p w14:paraId="4973D7A0" w14:textId="77777777" w:rsidR="00175781" w:rsidRPr="0011375C" w:rsidRDefault="00175781" w:rsidP="00175781">
      <w:pPr>
        <w:spacing w:after="0" w:line="240" w:lineRule="auto"/>
        <w:rPr>
          <w:color w:val="44546A" w:themeColor="text2"/>
        </w:rPr>
      </w:pPr>
    </w:p>
    <w:p w14:paraId="7C240032" w14:textId="77777777" w:rsidR="00175781" w:rsidRPr="00E475AF" w:rsidRDefault="00175781" w:rsidP="00175781">
      <w:pPr>
        <w:pStyle w:val="ListParagraph"/>
        <w:numPr>
          <w:ilvl w:val="0"/>
          <w:numId w:val="1"/>
        </w:numPr>
        <w:tabs>
          <w:tab w:val="left" w:pos="9360"/>
        </w:tabs>
        <w:ind w:left="446" w:right="274" w:hanging="446"/>
        <w:jc w:val="both"/>
        <w:rPr>
          <w:rFonts w:cs="Arial"/>
          <w:color w:val="231F20"/>
        </w:rPr>
      </w:pPr>
      <w:r w:rsidRPr="00E475AF">
        <w:rPr>
          <w:rFonts w:cs="Arial"/>
          <w:color w:val="231F20"/>
        </w:rPr>
        <w:t xml:space="preserve">Please provide copies of the Financial Statements, Uniform Guidance </w:t>
      </w:r>
      <w:r>
        <w:rPr>
          <w:rFonts w:cs="Arial"/>
          <w:color w:val="231F20"/>
        </w:rPr>
        <w:t xml:space="preserve">Single Audit </w:t>
      </w:r>
      <w:r w:rsidRPr="00E475AF">
        <w:rPr>
          <w:rFonts w:cs="Arial"/>
          <w:color w:val="231F20"/>
        </w:rPr>
        <w:t>Report, and Required Auditor Communications Letter/Management Letter for the last two fiscal/calendar years.</w:t>
      </w:r>
    </w:p>
    <w:p w14:paraId="0C286DA9" w14:textId="77777777" w:rsidR="00175781" w:rsidRPr="00E475AF" w:rsidRDefault="00175781" w:rsidP="00175781">
      <w:pPr>
        <w:pStyle w:val="ListParagraph"/>
        <w:numPr>
          <w:ilvl w:val="0"/>
          <w:numId w:val="1"/>
        </w:numPr>
        <w:tabs>
          <w:tab w:val="left" w:pos="9360"/>
        </w:tabs>
        <w:ind w:left="446" w:right="274" w:hanging="446"/>
        <w:jc w:val="both"/>
        <w:rPr>
          <w:rFonts w:cs="Arial"/>
          <w:color w:val="231F20"/>
        </w:rPr>
      </w:pPr>
      <w:r w:rsidRPr="00E475AF">
        <w:rPr>
          <w:rFonts w:cs="Arial"/>
          <w:color w:val="231F20"/>
        </w:rPr>
        <w:t>If the prior audit reports contained any findings or internal control matters, please provide an update as to the corrective action plan and resolution of the matters.</w:t>
      </w:r>
    </w:p>
    <w:p w14:paraId="0603AAAA" w14:textId="77777777" w:rsidR="00175781" w:rsidRPr="00E475AF" w:rsidRDefault="00175781" w:rsidP="00175781">
      <w:pPr>
        <w:pStyle w:val="ListParagraph"/>
        <w:numPr>
          <w:ilvl w:val="0"/>
          <w:numId w:val="1"/>
        </w:numPr>
        <w:tabs>
          <w:tab w:val="left" w:pos="9360"/>
        </w:tabs>
        <w:ind w:left="446" w:right="274" w:hanging="446"/>
        <w:jc w:val="both"/>
        <w:rPr>
          <w:rFonts w:cs="Arial"/>
          <w:color w:val="231F20"/>
        </w:rPr>
      </w:pPr>
      <w:r w:rsidRPr="00E475AF">
        <w:rPr>
          <w:rFonts w:cs="Arial"/>
          <w:color w:val="231F20"/>
        </w:rPr>
        <w:t>Please provide a copy of the organization’s Uniform Guidance policies and procedures.</w:t>
      </w:r>
    </w:p>
    <w:p w14:paraId="55B6ED0F" w14:textId="77777777" w:rsidR="00175781" w:rsidRPr="00E475AF" w:rsidRDefault="00175781" w:rsidP="00175781">
      <w:pPr>
        <w:pStyle w:val="ListParagraph"/>
        <w:numPr>
          <w:ilvl w:val="0"/>
          <w:numId w:val="1"/>
        </w:numPr>
        <w:tabs>
          <w:tab w:val="left" w:pos="9360"/>
        </w:tabs>
        <w:ind w:left="446" w:right="274" w:hanging="446"/>
        <w:jc w:val="both"/>
        <w:rPr>
          <w:rFonts w:cs="Arial"/>
          <w:color w:val="231F20"/>
        </w:rPr>
      </w:pPr>
      <w:r w:rsidRPr="00E475AF">
        <w:rPr>
          <w:rFonts w:cs="Arial"/>
          <w:color w:val="231F20"/>
        </w:rPr>
        <w:t>Please provide the most recent internal financial reports that were presented to the organization’s Board of Directors.</w:t>
      </w:r>
    </w:p>
    <w:p w14:paraId="65B14638" w14:textId="77777777" w:rsidR="00175781" w:rsidRPr="00E475AF" w:rsidRDefault="00175781" w:rsidP="00175781">
      <w:pPr>
        <w:pStyle w:val="ListParagraph"/>
        <w:numPr>
          <w:ilvl w:val="0"/>
          <w:numId w:val="1"/>
        </w:numPr>
        <w:tabs>
          <w:tab w:val="left" w:pos="9360"/>
        </w:tabs>
        <w:ind w:left="446" w:right="274" w:hanging="446"/>
        <w:jc w:val="both"/>
        <w:rPr>
          <w:rFonts w:cs="Arial"/>
          <w:color w:val="231F20"/>
        </w:rPr>
      </w:pPr>
      <w:r w:rsidRPr="00E475AF">
        <w:rPr>
          <w:rFonts w:cs="Arial"/>
          <w:color w:val="231F20"/>
        </w:rPr>
        <w:t>What is the organization’s current staffing structure for performing the monitoring function?</w:t>
      </w:r>
    </w:p>
    <w:p w14:paraId="5CDFB027" w14:textId="77777777" w:rsidR="00175781" w:rsidRDefault="00175781" w:rsidP="00175781">
      <w:pPr>
        <w:pStyle w:val="ListParagraph"/>
        <w:numPr>
          <w:ilvl w:val="0"/>
          <w:numId w:val="1"/>
        </w:numPr>
        <w:tabs>
          <w:tab w:val="left" w:pos="9360"/>
        </w:tabs>
        <w:ind w:left="446" w:right="274" w:hanging="446"/>
        <w:jc w:val="both"/>
        <w:rPr>
          <w:rFonts w:cs="Arial"/>
          <w:color w:val="231F20"/>
        </w:rPr>
      </w:pPr>
      <w:r w:rsidRPr="00E475AF">
        <w:rPr>
          <w:rFonts w:cs="Arial"/>
          <w:color w:val="231F20"/>
        </w:rPr>
        <w:t xml:space="preserve">What software packages </w:t>
      </w:r>
      <w:r>
        <w:rPr>
          <w:rFonts w:cs="Arial"/>
          <w:color w:val="231F20"/>
        </w:rPr>
        <w:t xml:space="preserve">do you use </w:t>
      </w:r>
      <w:r w:rsidRPr="00E475AF">
        <w:rPr>
          <w:rFonts w:cs="Arial"/>
          <w:color w:val="231F20"/>
        </w:rPr>
        <w:t xml:space="preserve">for </w:t>
      </w:r>
      <w:r>
        <w:rPr>
          <w:rFonts w:cs="Arial"/>
          <w:color w:val="231F20"/>
        </w:rPr>
        <w:t xml:space="preserve">tracking and maintaining </w:t>
      </w:r>
      <w:r w:rsidRPr="00E475AF">
        <w:rPr>
          <w:rFonts w:cs="Arial"/>
          <w:color w:val="231F20"/>
        </w:rPr>
        <w:t xml:space="preserve">financial and performance data and metrics related to the grant programs? </w:t>
      </w:r>
    </w:p>
    <w:p w14:paraId="0C75B1E5" w14:textId="77777777" w:rsidR="00175781" w:rsidRPr="00E475AF" w:rsidRDefault="00175781" w:rsidP="00175781">
      <w:pPr>
        <w:pStyle w:val="ListParagraph"/>
        <w:tabs>
          <w:tab w:val="left" w:pos="9360"/>
        </w:tabs>
        <w:ind w:left="446" w:right="274" w:firstLine="0"/>
        <w:rPr>
          <w:rFonts w:cs="Arial"/>
          <w:color w:val="231F20"/>
        </w:rPr>
      </w:pPr>
      <w:r w:rsidRPr="00E475AF">
        <w:rPr>
          <w:rFonts w:cs="Arial"/>
          <w:color w:val="231F20"/>
        </w:rPr>
        <w:t>If a software package is not being used, how is your organization monitoring and tracking financial and performance data and metrics related to the grant program? Please provide as much detail as possible that includes templates that have been developed and/or screenshots.</w:t>
      </w:r>
    </w:p>
    <w:p w14:paraId="1A365CFC" w14:textId="77777777" w:rsidR="00175781" w:rsidRPr="00E475AF" w:rsidRDefault="00175781" w:rsidP="00175781">
      <w:pPr>
        <w:pStyle w:val="ListParagraph"/>
        <w:numPr>
          <w:ilvl w:val="0"/>
          <w:numId w:val="1"/>
        </w:numPr>
        <w:tabs>
          <w:tab w:val="left" w:pos="9360"/>
        </w:tabs>
        <w:ind w:left="446" w:right="274" w:hanging="446"/>
        <w:jc w:val="both"/>
        <w:rPr>
          <w:rFonts w:cs="Arial"/>
          <w:color w:val="231F20"/>
        </w:rPr>
      </w:pPr>
      <w:r>
        <w:rPr>
          <w:rFonts w:cs="Arial"/>
          <w:color w:val="231F20"/>
        </w:rPr>
        <w:t>Does your organization have a n</w:t>
      </w:r>
      <w:r w:rsidRPr="00E475AF">
        <w:rPr>
          <w:rFonts w:cs="Arial"/>
          <w:color w:val="231F20"/>
        </w:rPr>
        <w:t>egotiated Indirect Cost Rate? If yes, please provide a copy of your current agreement.</w:t>
      </w:r>
    </w:p>
    <w:p w14:paraId="3299EB44" w14:textId="77777777" w:rsidR="00175781" w:rsidRPr="00E475AF" w:rsidRDefault="00175781" w:rsidP="00175781">
      <w:pPr>
        <w:pStyle w:val="ListParagraph"/>
        <w:numPr>
          <w:ilvl w:val="0"/>
          <w:numId w:val="1"/>
        </w:numPr>
        <w:tabs>
          <w:tab w:val="left" w:pos="9360"/>
        </w:tabs>
        <w:ind w:left="446" w:right="274" w:hanging="446"/>
        <w:jc w:val="both"/>
        <w:rPr>
          <w:rFonts w:cs="Arial"/>
          <w:color w:val="231F20"/>
        </w:rPr>
      </w:pPr>
      <w:r w:rsidRPr="00E475AF">
        <w:rPr>
          <w:rFonts w:cs="Arial"/>
          <w:color w:val="231F20"/>
        </w:rPr>
        <w:t>Does your organization have any new personnel (e.g., key personnel, financial management, grants management, IT Management, or other staff service in a grants administration role)? If yes, please provide information regarding new personnel.</w:t>
      </w:r>
    </w:p>
    <w:p w14:paraId="332A4B6A" w14:textId="0F128488" w:rsidR="00000000" w:rsidRDefault="00000000" w:rsidP="00175781">
      <w:pPr>
        <w:widowControl/>
        <w:autoSpaceDE/>
        <w:autoSpaceDN/>
        <w:spacing w:after="160" w:line="259" w:lineRule="auto"/>
        <w:jc w:val="left"/>
      </w:pPr>
    </w:p>
    <w:sectPr w:rsidR="00717CB7" w:rsidSect="00175781">
      <w:headerReference w:type="default" r:id="rId7"/>
      <w:footerReference w:type="default" r:id="rId8"/>
      <w:pgSz w:w="12240" w:h="15840"/>
      <w:pgMar w:top="17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5298" w14:textId="77777777" w:rsidR="002B3025" w:rsidRDefault="002B3025" w:rsidP="00175781">
      <w:pPr>
        <w:spacing w:after="0" w:line="240" w:lineRule="auto"/>
      </w:pPr>
      <w:r>
        <w:separator/>
      </w:r>
    </w:p>
  </w:endnote>
  <w:endnote w:type="continuationSeparator" w:id="0">
    <w:p w14:paraId="6919FE8C" w14:textId="77777777" w:rsidR="002B3025" w:rsidRDefault="002B3025" w:rsidP="0017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310"/>
      <w:gridCol w:w="4050"/>
    </w:tblGrid>
    <w:tr w:rsidR="00175781" w14:paraId="6D01322C" w14:textId="77777777" w:rsidTr="00641865">
      <w:trPr>
        <w:trHeight w:hRule="exact" w:val="115"/>
        <w:jc w:val="center"/>
      </w:trPr>
      <w:tc>
        <w:tcPr>
          <w:tcW w:w="5310" w:type="dxa"/>
          <w:shd w:val="clear" w:color="auto" w:fill="4472C4" w:themeFill="accent1"/>
          <w:tcMar>
            <w:top w:w="0" w:type="dxa"/>
            <w:bottom w:w="0" w:type="dxa"/>
          </w:tcMar>
        </w:tcPr>
        <w:p w14:paraId="403AD002" w14:textId="77777777" w:rsidR="00175781" w:rsidRDefault="00175781" w:rsidP="00175781">
          <w:pPr>
            <w:pStyle w:val="Header"/>
            <w:tabs>
              <w:tab w:val="clear" w:pos="4680"/>
              <w:tab w:val="clear" w:pos="9360"/>
            </w:tabs>
            <w:rPr>
              <w:caps/>
              <w:sz w:val="18"/>
            </w:rPr>
          </w:pPr>
        </w:p>
      </w:tc>
      <w:tc>
        <w:tcPr>
          <w:tcW w:w="4050" w:type="dxa"/>
          <w:shd w:val="clear" w:color="auto" w:fill="4472C4" w:themeFill="accent1"/>
          <w:tcMar>
            <w:top w:w="0" w:type="dxa"/>
            <w:bottom w:w="0" w:type="dxa"/>
          </w:tcMar>
        </w:tcPr>
        <w:p w14:paraId="2B4ABB53" w14:textId="77777777" w:rsidR="00175781" w:rsidRDefault="00175781" w:rsidP="00175781">
          <w:pPr>
            <w:pStyle w:val="Header"/>
            <w:tabs>
              <w:tab w:val="clear" w:pos="4680"/>
              <w:tab w:val="clear" w:pos="9360"/>
            </w:tabs>
            <w:jc w:val="right"/>
            <w:rPr>
              <w:caps/>
              <w:sz w:val="18"/>
            </w:rPr>
          </w:pPr>
        </w:p>
      </w:tc>
    </w:tr>
    <w:tr w:rsidR="00175781" w14:paraId="20F625FB" w14:textId="77777777" w:rsidTr="00641865">
      <w:trPr>
        <w:jc w:val="center"/>
      </w:trPr>
      <w:sdt>
        <w:sdtPr>
          <w:rPr>
            <w:b/>
            <w:color w:val="808080" w:themeColor="background1" w:themeShade="80"/>
            <w:sz w:val="20"/>
            <w:szCs w:val="20"/>
          </w:rPr>
          <w:alias w:val="Author"/>
          <w:tag w:val=""/>
          <w:id w:val="1534151868"/>
          <w:placeholder>
            <w:docPart w:val="7230286043F44BB9AAE28377ACD34B03"/>
          </w:placeholder>
          <w:dataBinding w:prefixMappings="xmlns:ns0='http://purl.org/dc/elements/1.1/' xmlns:ns1='http://schemas.openxmlformats.org/package/2006/metadata/core-properties' " w:xpath="/ns1:coreProperties[1]/ns0:creator[1]" w:storeItemID="{6C3C8BC8-F283-45AE-878A-BAB7291924A1}"/>
          <w:text/>
        </w:sdtPr>
        <w:sdtContent>
          <w:tc>
            <w:tcPr>
              <w:tcW w:w="5310" w:type="dxa"/>
              <w:shd w:val="clear" w:color="auto" w:fill="auto"/>
              <w:vAlign w:val="center"/>
            </w:tcPr>
            <w:p w14:paraId="61EEA5B6" w14:textId="00606045" w:rsidR="00175781" w:rsidRPr="00C53E7C" w:rsidRDefault="00175781" w:rsidP="00175781">
              <w:pPr>
                <w:pStyle w:val="Footer"/>
                <w:tabs>
                  <w:tab w:val="clear" w:pos="4680"/>
                  <w:tab w:val="clear" w:pos="9360"/>
                </w:tabs>
                <w:ind w:hanging="30"/>
                <w:rPr>
                  <w:caps/>
                  <w:color w:val="808080" w:themeColor="background1" w:themeShade="80"/>
                  <w:sz w:val="18"/>
                  <w:szCs w:val="18"/>
                </w:rPr>
              </w:pPr>
              <w:r>
                <w:rPr>
                  <w:b/>
                  <w:color w:val="808080" w:themeColor="background1" w:themeShade="80"/>
                  <w:sz w:val="20"/>
                  <w:szCs w:val="20"/>
                </w:rPr>
                <w:t>Subrecipient Monitoring Handbook – June 15, 2022</w:t>
              </w:r>
            </w:p>
          </w:tc>
        </w:sdtContent>
      </w:sdt>
      <w:tc>
        <w:tcPr>
          <w:tcW w:w="4050" w:type="dxa"/>
          <w:shd w:val="clear" w:color="auto" w:fill="auto"/>
          <w:vAlign w:val="center"/>
        </w:tcPr>
        <w:p w14:paraId="1B582E55" w14:textId="77777777" w:rsidR="00175781" w:rsidRPr="00C53E7C" w:rsidRDefault="00175781" w:rsidP="00175781">
          <w:pPr>
            <w:pStyle w:val="Footer"/>
            <w:tabs>
              <w:tab w:val="clear" w:pos="4680"/>
              <w:tab w:val="clear" w:pos="9360"/>
            </w:tabs>
            <w:jc w:val="right"/>
            <w:rPr>
              <w:b/>
              <w:caps/>
              <w:color w:val="808080" w:themeColor="background1" w:themeShade="80"/>
              <w:sz w:val="20"/>
              <w:szCs w:val="20"/>
            </w:rPr>
          </w:pPr>
          <w:r w:rsidRPr="00C53E7C">
            <w:rPr>
              <w:b/>
              <w:caps/>
              <w:color w:val="808080" w:themeColor="background1" w:themeShade="80"/>
              <w:sz w:val="20"/>
              <w:szCs w:val="20"/>
            </w:rPr>
            <w:fldChar w:fldCharType="begin"/>
          </w:r>
          <w:r w:rsidRPr="00C53E7C">
            <w:rPr>
              <w:b/>
              <w:caps/>
              <w:color w:val="808080" w:themeColor="background1" w:themeShade="80"/>
              <w:sz w:val="20"/>
              <w:szCs w:val="20"/>
            </w:rPr>
            <w:instrText xml:space="preserve"> PAGE   \* MERGEFORMAT </w:instrText>
          </w:r>
          <w:r w:rsidRPr="00C53E7C">
            <w:rPr>
              <w:b/>
              <w:caps/>
              <w:color w:val="808080" w:themeColor="background1" w:themeShade="80"/>
              <w:sz w:val="20"/>
              <w:szCs w:val="20"/>
            </w:rPr>
            <w:fldChar w:fldCharType="separate"/>
          </w:r>
          <w:r>
            <w:rPr>
              <w:b/>
              <w:caps/>
              <w:color w:val="808080" w:themeColor="background1" w:themeShade="80"/>
              <w:sz w:val="20"/>
              <w:szCs w:val="20"/>
            </w:rPr>
            <w:t>13</w:t>
          </w:r>
          <w:r w:rsidRPr="00C53E7C">
            <w:rPr>
              <w:b/>
              <w:caps/>
              <w:noProof/>
              <w:color w:val="808080" w:themeColor="background1" w:themeShade="80"/>
              <w:sz w:val="20"/>
              <w:szCs w:val="20"/>
            </w:rPr>
            <w:fldChar w:fldCharType="end"/>
          </w:r>
        </w:p>
      </w:tc>
    </w:tr>
  </w:tbl>
  <w:p w14:paraId="1E1BE361" w14:textId="77777777" w:rsidR="00175781" w:rsidRDefault="00175781" w:rsidP="00175781">
    <w:pPr>
      <w:pStyle w:val="BodyText"/>
      <w:spacing w:line="14" w:lineRule="auto"/>
      <w:rPr>
        <w:sz w:val="19"/>
      </w:rPr>
    </w:pPr>
  </w:p>
  <w:p w14:paraId="7E4654FE" w14:textId="77777777" w:rsidR="00175781" w:rsidRDefault="0017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8133D" w14:textId="77777777" w:rsidR="002B3025" w:rsidRDefault="002B3025" w:rsidP="00175781">
      <w:pPr>
        <w:spacing w:after="0" w:line="240" w:lineRule="auto"/>
      </w:pPr>
      <w:r>
        <w:separator/>
      </w:r>
    </w:p>
  </w:footnote>
  <w:footnote w:type="continuationSeparator" w:id="0">
    <w:p w14:paraId="3DF259C0" w14:textId="77777777" w:rsidR="002B3025" w:rsidRDefault="002B3025" w:rsidP="00175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B051" w14:textId="772CAEFD" w:rsidR="00175781" w:rsidRDefault="00175781">
    <w:pPr>
      <w:pStyle w:val="Header"/>
    </w:pPr>
    <w:r>
      <w:rPr>
        <w:noProof/>
      </w:rPr>
      <w:drawing>
        <wp:anchor distT="0" distB="0" distL="114300" distR="114300" simplePos="0" relativeHeight="251659264" behindDoc="1" locked="0" layoutInCell="1" allowOverlap="1" wp14:anchorId="00FEC2D0" wp14:editId="39E3E749">
          <wp:simplePos x="0" y="0"/>
          <wp:positionH relativeFrom="margin">
            <wp:align>right</wp:align>
          </wp:positionH>
          <wp:positionV relativeFrom="paragraph">
            <wp:posOffset>-306705</wp:posOffset>
          </wp:positionV>
          <wp:extent cx="988695" cy="662305"/>
          <wp:effectExtent l="0" t="0" r="1905" b="4445"/>
          <wp:wrapTopAndBottom/>
          <wp:docPr id="1816809057" name="Picture 18168090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8695" cy="6623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A3181"/>
    <w:multiLevelType w:val="hybridMultilevel"/>
    <w:tmpl w:val="7832A0E4"/>
    <w:lvl w:ilvl="0" w:tplc="BE705138">
      <w:start w:val="1"/>
      <w:numFmt w:val="decimal"/>
      <w:lvlText w:val="%1."/>
      <w:lvlJc w:val="left"/>
      <w:pPr>
        <w:ind w:left="1800" w:hanging="360"/>
        <w:jc w:val="right"/>
      </w:pPr>
      <w:rPr>
        <w:rFonts w:hint="default"/>
        <w:spacing w:val="-1"/>
        <w:w w:val="100"/>
      </w:rPr>
    </w:lvl>
    <w:lvl w:ilvl="1" w:tplc="B64CF58A">
      <w:start w:val="1"/>
      <w:numFmt w:val="lowerLetter"/>
      <w:lvlText w:val="%2."/>
      <w:lvlJc w:val="left"/>
      <w:pPr>
        <w:ind w:left="2434" w:hanging="274"/>
      </w:pPr>
      <w:rPr>
        <w:rFonts w:ascii="Arial" w:eastAsia="Cambria" w:hAnsi="Arial" w:cs="Arial" w:hint="default"/>
        <w:color w:val="231F20"/>
        <w:spacing w:val="-2"/>
        <w:w w:val="100"/>
        <w:sz w:val="22"/>
        <w:szCs w:val="22"/>
      </w:rPr>
    </w:lvl>
    <w:lvl w:ilvl="2" w:tplc="A6FEEBD4">
      <w:numFmt w:val="bullet"/>
      <w:lvlText w:val="•"/>
      <w:lvlJc w:val="left"/>
      <w:pPr>
        <w:ind w:left="3482" w:hanging="274"/>
      </w:pPr>
      <w:rPr>
        <w:rFonts w:hint="default"/>
      </w:rPr>
    </w:lvl>
    <w:lvl w:ilvl="3" w:tplc="B134B67E">
      <w:numFmt w:val="bullet"/>
      <w:lvlText w:val="•"/>
      <w:lvlJc w:val="left"/>
      <w:pPr>
        <w:ind w:left="4524" w:hanging="274"/>
      </w:pPr>
      <w:rPr>
        <w:rFonts w:hint="default"/>
      </w:rPr>
    </w:lvl>
    <w:lvl w:ilvl="4" w:tplc="6CF2D95A">
      <w:numFmt w:val="bullet"/>
      <w:lvlText w:val="•"/>
      <w:lvlJc w:val="left"/>
      <w:pPr>
        <w:ind w:left="5566" w:hanging="274"/>
      </w:pPr>
      <w:rPr>
        <w:rFonts w:hint="default"/>
      </w:rPr>
    </w:lvl>
    <w:lvl w:ilvl="5" w:tplc="CCFC6C4E">
      <w:numFmt w:val="bullet"/>
      <w:lvlText w:val="•"/>
      <w:lvlJc w:val="left"/>
      <w:pPr>
        <w:ind w:left="6608" w:hanging="274"/>
      </w:pPr>
      <w:rPr>
        <w:rFonts w:hint="default"/>
      </w:rPr>
    </w:lvl>
    <w:lvl w:ilvl="6" w:tplc="524CC724">
      <w:numFmt w:val="bullet"/>
      <w:lvlText w:val="•"/>
      <w:lvlJc w:val="left"/>
      <w:pPr>
        <w:ind w:left="7651" w:hanging="274"/>
      </w:pPr>
      <w:rPr>
        <w:rFonts w:hint="default"/>
      </w:rPr>
    </w:lvl>
    <w:lvl w:ilvl="7" w:tplc="37062E70">
      <w:numFmt w:val="bullet"/>
      <w:lvlText w:val="•"/>
      <w:lvlJc w:val="left"/>
      <w:pPr>
        <w:ind w:left="8693" w:hanging="274"/>
      </w:pPr>
      <w:rPr>
        <w:rFonts w:hint="default"/>
      </w:rPr>
    </w:lvl>
    <w:lvl w:ilvl="8" w:tplc="D0F846CA">
      <w:numFmt w:val="bullet"/>
      <w:lvlText w:val="•"/>
      <w:lvlJc w:val="left"/>
      <w:pPr>
        <w:ind w:left="9735" w:hanging="274"/>
      </w:pPr>
      <w:rPr>
        <w:rFonts w:hint="default"/>
      </w:rPr>
    </w:lvl>
  </w:abstractNum>
  <w:abstractNum w:abstractNumId="1" w15:restartNumberingAfterBreak="0">
    <w:nsid w:val="549C302E"/>
    <w:multiLevelType w:val="hybridMultilevel"/>
    <w:tmpl w:val="2376B7C8"/>
    <w:lvl w:ilvl="0" w:tplc="2102BFD4">
      <w:start w:val="1"/>
      <w:numFmt w:val="bullet"/>
      <w:lvlText w:val=""/>
      <w:lvlJc w:val="left"/>
      <w:pPr>
        <w:ind w:left="720" w:hanging="360"/>
      </w:pPr>
      <w:rPr>
        <w:rFonts w:ascii="Symbol" w:hAnsi="Symbol"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152031">
    <w:abstractNumId w:val="0"/>
  </w:num>
  <w:num w:numId="2" w16cid:durableId="1135607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81"/>
    <w:rsid w:val="00175781"/>
    <w:rsid w:val="002B3025"/>
    <w:rsid w:val="00AD6A1E"/>
    <w:rsid w:val="00E7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CD998"/>
  <w15:chartTrackingRefBased/>
  <w15:docId w15:val="{AFE8AC4B-96F2-4779-8C4B-ED0C1540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5781"/>
    <w:pPr>
      <w:widowControl w:val="0"/>
      <w:autoSpaceDE w:val="0"/>
      <w:autoSpaceDN w:val="0"/>
      <w:spacing w:after="200" w:line="276" w:lineRule="auto"/>
      <w:jc w:val="both"/>
    </w:pPr>
    <w:rPr>
      <w:rFonts w:ascii="Arial" w:eastAsia="Arial" w:hAnsi="Arial" w:cs="Arial"/>
    </w:rPr>
  </w:style>
  <w:style w:type="paragraph" w:styleId="Heading1">
    <w:name w:val="heading 1"/>
    <w:basedOn w:val="Normal"/>
    <w:link w:val="Heading1Char"/>
    <w:uiPriority w:val="1"/>
    <w:qFormat/>
    <w:rsid w:val="00175781"/>
    <w:pPr>
      <w:ind w:left="3672" w:right="1101" w:hanging="3611"/>
      <w:outlineLvl w:val="0"/>
    </w:pPr>
    <w:rPr>
      <w:rFonts w:ascii="Times New Roman" w:eastAsia="Times New Roman" w:hAnsi="Times New Roman" w:cs="Times New Roman"/>
      <w:b/>
      <w:bCs/>
      <w:sz w:val="32"/>
      <w:szCs w:val="32"/>
    </w:rPr>
  </w:style>
  <w:style w:type="paragraph" w:styleId="Heading2">
    <w:name w:val="heading 2"/>
    <w:basedOn w:val="Normal"/>
    <w:next w:val="Normal"/>
    <w:link w:val="Heading2Char"/>
    <w:uiPriority w:val="9"/>
    <w:semiHidden/>
    <w:unhideWhenUsed/>
    <w:qFormat/>
    <w:rsid w:val="001757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757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5781"/>
    <w:rPr>
      <w:rFonts w:ascii="Times New Roman" w:eastAsia="Times New Roman" w:hAnsi="Times New Roman" w:cs="Times New Roman"/>
      <w:b/>
      <w:bCs/>
      <w:sz w:val="32"/>
      <w:szCs w:val="32"/>
    </w:rPr>
  </w:style>
  <w:style w:type="paragraph" w:styleId="ListParagraph">
    <w:name w:val="List Paragraph"/>
    <w:aliases w:val="Alpha List Paragraph,List1,Equipment,Figure_name,Numbered Indented Text,List Paragraph Char Char Char,List Paragraph Char Char,List Paragraph1,lp1,List Paragraph11,List_TIS,b1,Number_1,List Paragraph2,new,SGLText List Paragraph,n"/>
    <w:basedOn w:val="Normal"/>
    <w:link w:val="ListParagraphChar"/>
    <w:uiPriority w:val="34"/>
    <w:qFormat/>
    <w:rsid w:val="00175781"/>
    <w:pPr>
      <w:spacing w:after="120"/>
      <w:ind w:left="720" w:hanging="360"/>
    </w:pPr>
    <w:rPr>
      <w:rFonts w:eastAsia="Cambria" w:cs="Cambria"/>
    </w:rPr>
  </w:style>
  <w:style w:type="character" w:customStyle="1" w:styleId="ListParagraphChar">
    <w:name w:val="List Paragraph Char"/>
    <w:aliases w:val="Alpha List Paragraph Char,List1 Char,Equipment Char,Figure_name Char,Numbered Indented Text Char,List Paragraph Char Char Char Char,List Paragraph Char Char Char1,List Paragraph1 Char,lp1 Char,List Paragraph11 Char,List_TIS Char"/>
    <w:basedOn w:val="DefaultParagraphFont"/>
    <w:link w:val="ListParagraph"/>
    <w:uiPriority w:val="34"/>
    <w:qFormat/>
    <w:rsid w:val="00175781"/>
    <w:rPr>
      <w:rFonts w:ascii="Arial" w:eastAsia="Cambria" w:hAnsi="Arial" w:cs="Cambria"/>
    </w:rPr>
  </w:style>
  <w:style w:type="paragraph" w:styleId="Header">
    <w:name w:val="header"/>
    <w:basedOn w:val="Normal"/>
    <w:link w:val="HeaderChar"/>
    <w:uiPriority w:val="99"/>
    <w:unhideWhenUsed/>
    <w:rsid w:val="00175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781"/>
    <w:rPr>
      <w:rFonts w:ascii="Arial" w:eastAsia="Arial" w:hAnsi="Arial" w:cs="Arial"/>
    </w:rPr>
  </w:style>
  <w:style w:type="paragraph" w:styleId="Footer">
    <w:name w:val="footer"/>
    <w:aliases w:val="f"/>
    <w:basedOn w:val="Normal"/>
    <w:link w:val="FooterChar"/>
    <w:uiPriority w:val="99"/>
    <w:unhideWhenUsed/>
    <w:rsid w:val="00175781"/>
    <w:pPr>
      <w:tabs>
        <w:tab w:val="center" w:pos="4680"/>
        <w:tab w:val="right" w:pos="9360"/>
      </w:tabs>
      <w:spacing w:after="0" w:line="240" w:lineRule="auto"/>
    </w:pPr>
  </w:style>
  <w:style w:type="character" w:customStyle="1" w:styleId="FooterChar">
    <w:name w:val="Footer Char"/>
    <w:aliases w:val="f Char"/>
    <w:basedOn w:val="DefaultParagraphFont"/>
    <w:link w:val="Footer"/>
    <w:uiPriority w:val="99"/>
    <w:rsid w:val="00175781"/>
    <w:rPr>
      <w:rFonts w:ascii="Arial" w:eastAsia="Arial" w:hAnsi="Arial" w:cs="Arial"/>
    </w:rPr>
  </w:style>
  <w:style w:type="character" w:customStyle="1" w:styleId="Heading2Char">
    <w:name w:val="Heading 2 Char"/>
    <w:basedOn w:val="DefaultParagraphFont"/>
    <w:link w:val="Heading2"/>
    <w:uiPriority w:val="9"/>
    <w:semiHidden/>
    <w:rsid w:val="001757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7578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17578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5781"/>
    <w:rPr>
      <w:sz w:val="24"/>
      <w:szCs w:val="24"/>
    </w:rPr>
  </w:style>
  <w:style w:type="character" w:customStyle="1" w:styleId="BodyTextChar">
    <w:name w:val="Body Text Char"/>
    <w:basedOn w:val="DefaultParagraphFont"/>
    <w:link w:val="BodyText"/>
    <w:uiPriority w:val="1"/>
    <w:rsid w:val="00175781"/>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30286043F44BB9AAE28377ACD34B03"/>
        <w:category>
          <w:name w:val="General"/>
          <w:gallery w:val="placeholder"/>
        </w:category>
        <w:types>
          <w:type w:val="bbPlcHdr"/>
        </w:types>
        <w:behaviors>
          <w:behavior w:val="content"/>
        </w:behaviors>
        <w:guid w:val="{7183C121-7498-4382-AC10-0D928CE6D5A6}"/>
      </w:docPartPr>
      <w:docPartBody>
        <w:p w:rsidR="00000000" w:rsidRDefault="00565AC6" w:rsidP="00565AC6">
          <w:pPr>
            <w:pStyle w:val="7230286043F44BB9AAE28377ACD34B0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C6"/>
    <w:rsid w:val="00463705"/>
    <w:rsid w:val="0056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AC6"/>
    <w:rPr>
      <w:color w:val="808080"/>
    </w:rPr>
  </w:style>
  <w:style w:type="paragraph" w:customStyle="1" w:styleId="E4415016513E40419B7ED40EB9BA71EA">
    <w:name w:val="E4415016513E40419B7ED40EB9BA71EA"/>
    <w:rsid w:val="00565AC6"/>
  </w:style>
  <w:style w:type="paragraph" w:customStyle="1" w:styleId="7230286043F44BB9AAE28377ACD34B03">
    <w:name w:val="7230286043F44BB9AAE28377ACD34B03"/>
    <w:rsid w:val="00565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Subrecipient Monitoring Handbook – June 15, 2022</dc:creator>
  <cp:keywords/>
  <dc:description/>
  <cp:lastModifiedBy>Owoc, Emily</cp:lastModifiedBy>
  <cp:revision>1</cp:revision>
  <dcterms:created xsi:type="dcterms:W3CDTF">2023-08-18T14:32:00Z</dcterms:created>
  <dcterms:modified xsi:type="dcterms:W3CDTF">2023-08-18T14:37:00Z</dcterms:modified>
</cp:coreProperties>
</file>